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F3" w:rsidRDefault="0012176A" w:rsidP="0012176A">
      <w:pPr>
        <w:jc w:val="center"/>
        <w:rPr>
          <w:noProof/>
          <w:lang w:val="tr-TR" w:eastAsia="tr-TR"/>
        </w:rPr>
      </w:pPr>
      <w:r>
        <w:rPr>
          <w:noProof/>
          <w:lang w:val="tr-TR" w:eastAsia="tr-TR"/>
        </w:rPr>
        <w:drawing>
          <wp:inline distT="0" distB="0" distL="0" distR="0">
            <wp:extent cx="4725268" cy="10953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485" cy="1107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AF3" w:rsidRDefault="00675AF3">
      <w:pPr>
        <w:rPr>
          <w:noProof/>
          <w:lang w:val="tr-TR" w:eastAsia="tr-TR"/>
        </w:rPr>
      </w:pPr>
    </w:p>
    <w:p w:rsidR="0037753E" w:rsidRPr="00BF697D" w:rsidRDefault="0037753E" w:rsidP="0037753E">
      <w:pPr>
        <w:pStyle w:val="Balk3"/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Toc529440574"/>
      <w:r w:rsidRPr="00BF697D">
        <w:rPr>
          <w:rFonts w:ascii="Times New Roman" w:hAnsi="Times New Roman" w:cs="Times New Roman"/>
          <w:b/>
          <w:sz w:val="22"/>
          <w:szCs w:val="22"/>
        </w:rPr>
        <w:t>Akademik İngilizce Başarı Durumu</w:t>
      </w:r>
      <w:bookmarkEnd w:id="0"/>
    </w:p>
    <w:p w:rsidR="0037753E" w:rsidRPr="00EC6FCD" w:rsidRDefault="0037753E" w:rsidP="0037753E">
      <w:pPr>
        <w:pStyle w:val="Balk4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EC6FCD">
        <w:rPr>
          <w:rFonts w:ascii="Times New Roman" w:hAnsi="Times New Roman" w:cs="Times New Roman"/>
        </w:rPr>
        <w:t>i</w:t>
      </w:r>
      <w:proofErr w:type="gramEnd"/>
      <w:r w:rsidRPr="00EC6FCD">
        <w:rPr>
          <w:rFonts w:ascii="Times New Roman" w:hAnsi="Times New Roman" w:cs="Times New Roman"/>
        </w:rPr>
        <w:t xml:space="preserve">.  Yarı yıl içi değerlendirme </w:t>
      </w:r>
    </w:p>
    <w:p w:rsidR="0037753E" w:rsidRPr="00EC6FCD" w:rsidRDefault="0037753E" w:rsidP="0037753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eğitim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öğretim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boyunca</w:t>
      </w:r>
      <w:proofErr w:type="spellEnd"/>
      <w:r w:rsidRPr="00EC6FCD">
        <w:rPr>
          <w:rFonts w:ascii="Times New Roman" w:hAnsi="Times New Roman" w:cs="Times New Roman"/>
        </w:rPr>
        <w:t xml:space="preserve"> 1 </w:t>
      </w:r>
      <w:proofErr w:type="spellStart"/>
      <w:r w:rsidRPr="00EC6FCD">
        <w:rPr>
          <w:rFonts w:ascii="Times New Roman" w:hAnsi="Times New Roman" w:cs="Times New Roman"/>
        </w:rPr>
        <w:t>veya</w:t>
      </w:r>
      <w:proofErr w:type="spellEnd"/>
      <w:r w:rsidRPr="00EC6FCD">
        <w:rPr>
          <w:rFonts w:ascii="Times New Roman" w:hAnsi="Times New Roman" w:cs="Times New Roman"/>
        </w:rPr>
        <w:t xml:space="preserve"> 2 </w:t>
      </w:r>
      <w:proofErr w:type="spellStart"/>
      <w:proofErr w:type="gramStart"/>
      <w:r w:rsidRPr="00EC6FCD">
        <w:rPr>
          <w:rFonts w:ascii="Times New Roman" w:hAnsi="Times New Roman" w:cs="Times New Roman"/>
        </w:rPr>
        <w:t>ara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1 </w:t>
      </w:r>
      <w:proofErr w:type="spellStart"/>
      <w:r w:rsidRPr="00EC6FCD">
        <w:rPr>
          <w:rFonts w:ascii="Times New Roman" w:hAnsi="Times New Roman" w:cs="Times New Roman"/>
        </w:rPr>
        <w:t>yarı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sonu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uygulanır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6FCD">
        <w:rPr>
          <w:rFonts w:ascii="Times New Roman" w:hAnsi="Times New Roman" w:cs="Times New Roman"/>
        </w:rPr>
        <w:t>Derslerin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hedef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çıktılarına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</w:t>
      </w:r>
      <w:proofErr w:type="spellEnd"/>
      <w:r w:rsidRPr="00EC6FCD">
        <w:rPr>
          <w:rFonts w:ascii="Times New Roman" w:hAnsi="Times New Roman" w:cs="Times New Roman"/>
        </w:rPr>
        <w:t xml:space="preserve"> her </w:t>
      </w:r>
      <w:proofErr w:type="spellStart"/>
      <w:r w:rsidRPr="00EC6FCD">
        <w:rPr>
          <w:rFonts w:ascii="Times New Roman" w:hAnsi="Times New Roman" w:cs="Times New Roman"/>
        </w:rPr>
        <w:t>yarı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başında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edilen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farklı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değerlendirme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yöntemleri</w:t>
      </w:r>
      <w:proofErr w:type="spellEnd"/>
      <w:r w:rsidRPr="00EC6FCD">
        <w:rPr>
          <w:rFonts w:ascii="Times New Roman" w:hAnsi="Times New Roman" w:cs="Times New Roman"/>
        </w:rPr>
        <w:t xml:space="preserve"> (</w:t>
      </w:r>
      <w:proofErr w:type="spellStart"/>
      <w:r w:rsidRPr="00EC6FCD">
        <w:rPr>
          <w:rFonts w:ascii="Times New Roman" w:hAnsi="Times New Roman" w:cs="Times New Roman"/>
        </w:rPr>
        <w:t>sunum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portföy</w:t>
      </w:r>
      <w:proofErr w:type="spellEnd"/>
      <w:r w:rsidRPr="00EC6FCD">
        <w:rPr>
          <w:rFonts w:ascii="Times New Roman" w:hAnsi="Times New Roman" w:cs="Times New Roman"/>
        </w:rPr>
        <w:t xml:space="preserve"> vb.) de </w:t>
      </w:r>
      <w:proofErr w:type="spellStart"/>
      <w:r w:rsidRPr="00EC6FCD">
        <w:rPr>
          <w:rFonts w:ascii="Times New Roman" w:hAnsi="Times New Roman" w:cs="Times New Roman"/>
        </w:rPr>
        <w:t>uygulanabilir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tarihleri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fakülte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bölümlerin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belirlediği</w:t>
      </w:r>
      <w:proofErr w:type="spellEnd"/>
      <w:r w:rsidRPr="00EC6FCD">
        <w:rPr>
          <w:rFonts w:ascii="Times New Roman" w:hAnsi="Times New Roman" w:cs="Times New Roman"/>
        </w:rPr>
        <w:t xml:space="preserve"> (</w:t>
      </w:r>
      <w:proofErr w:type="spellStart"/>
      <w:r w:rsidRPr="00EC6FCD">
        <w:rPr>
          <w:rFonts w:ascii="Times New Roman" w:hAnsi="Times New Roman" w:cs="Times New Roman"/>
        </w:rPr>
        <w:t>varsa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CD">
        <w:rPr>
          <w:rFonts w:ascii="Times New Roman" w:hAnsi="Times New Roman" w:cs="Times New Roman"/>
        </w:rPr>
        <w:t>ara</w:t>
      </w:r>
      <w:proofErr w:type="spellEnd"/>
      <w:proofErr w:type="gram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takvimine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göre</w:t>
      </w:r>
      <w:proofErr w:type="spellEnd"/>
      <w:r w:rsidRPr="00EC6FCD">
        <w:rPr>
          <w:rFonts w:ascii="Times New Roman" w:hAnsi="Times New Roman" w:cs="Times New Roman"/>
        </w:rPr>
        <w:t xml:space="preserve">) </w:t>
      </w:r>
      <w:proofErr w:type="spellStart"/>
      <w:r w:rsidRPr="00EC6FCD">
        <w:rPr>
          <w:rFonts w:ascii="Times New Roman" w:hAnsi="Times New Roman" w:cs="Times New Roman"/>
        </w:rPr>
        <w:t>ilan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edilerek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uygulanır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saat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yerleri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ise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ilgili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tarihinden</w:t>
      </w:r>
      <w:proofErr w:type="spellEnd"/>
      <w:r w:rsidRPr="00EC6FCD">
        <w:rPr>
          <w:rFonts w:ascii="Times New Roman" w:hAnsi="Times New Roman" w:cs="Times New Roman"/>
        </w:rPr>
        <w:t xml:space="preserve"> en </w:t>
      </w:r>
      <w:proofErr w:type="spellStart"/>
      <w:r w:rsidRPr="00EC6FCD">
        <w:rPr>
          <w:rFonts w:ascii="Times New Roman" w:hAnsi="Times New Roman" w:cs="Times New Roman"/>
        </w:rPr>
        <w:t>geç</w:t>
      </w:r>
      <w:proofErr w:type="spellEnd"/>
      <w:r w:rsidRPr="00EC6FCD">
        <w:rPr>
          <w:rFonts w:ascii="Times New Roman" w:hAnsi="Times New Roman" w:cs="Times New Roman"/>
        </w:rPr>
        <w:t xml:space="preserve"> 1 </w:t>
      </w:r>
      <w:proofErr w:type="spellStart"/>
      <w:r w:rsidRPr="00EC6FCD">
        <w:rPr>
          <w:rFonts w:ascii="Times New Roman" w:hAnsi="Times New Roman" w:cs="Times New Roman"/>
        </w:rPr>
        <w:t>hafta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önce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yazılı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olarak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edilir</w:t>
      </w:r>
      <w:proofErr w:type="spellEnd"/>
      <w:r w:rsidRPr="00EC6FCD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EC6FCD">
        <w:rPr>
          <w:rFonts w:ascii="Times New Roman" w:hAnsi="Times New Roman" w:cs="Times New Roman"/>
        </w:rPr>
        <w:t>Duyuruları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takip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edip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ilan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edilen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saat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ve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yerde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sınav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salonunda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bulunmanız</w:t>
      </w:r>
      <w:proofErr w:type="spellEnd"/>
      <w:r w:rsidRPr="00EC6FCD">
        <w:rPr>
          <w:rFonts w:ascii="Times New Roman" w:hAnsi="Times New Roman" w:cs="Times New Roman"/>
        </w:rPr>
        <w:t xml:space="preserve">, </w:t>
      </w:r>
      <w:proofErr w:type="spellStart"/>
      <w:r w:rsidRPr="00EC6FCD">
        <w:rPr>
          <w:rFonts w:ascii="Times New Roman" w:hAnsi="Times New Roman" w:cs="Times New Roman"/>
        </w:rPr>
        <w:t>siz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öğrencilerin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bireysel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sorumluluğu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altındadır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</w:p>
    <w:p w:rsidR="0037753E" w:rsidRPr="00EC6FCD" w:rsidRDefault="0037753E" w:rsidP="0037753E">
      <w:pPr>
        <w:pStyle w:val="Balk4"/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EC6FCD">
        <w:rPr>
          <w:rFonts w:ascii="Times New Roman" w:hAnsi="Times New Roman" w:cs="Times New Roman"/>
        </w:rPr>
        <w:t>ii</w:t>
      </w:r>
      <w:proofErr w:type="spellEnd"/>
      <w:r w:rsidRPr="00EC6FCD">
        <w:rPr>
          <w:rFonts w:ascii="Times New Roman" w:hAnsi="Times New Roman" w:cs="Times New Roman"/>
        </w:rPr>
        <w:t xml:space="preserve">. Başarı notu nasıl hesaplanır? </w:t>
      </w:r>
    </w:p>
    <w:p w:rsidR="0037753E" w:rsidRPr="00EC6FCD" w:rsidRDefault="0037753E" w:rsidP="0037753E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Dönem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sonu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başarı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hesaplama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için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kullanılan</w:t>
      </w:r>
      <w:proofErr w:type="spellEnd"/>
      <w:r>
        <w:rPr>
          <w:rFonts w:ascii="Times New Roman" w:hAnsi="Times New Roman" w:cs="Times New Roman"/>
        </w:rPr>
        <w:t xml:space="preserve"> not </w:t>
      </w:r>
      <w:proofErr w:type="spellStart"/>
      <w:r>
        <w:rPr>
          <w:rFonts w:ascii="Times New Roman" w:hAnsi="Times New Roman" w:cs="Times New Roman"/>
        </w:rPr>
        <w:t>baremleri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fakülte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yüksekokullara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değişiklik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göstermektedir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</w:rPr>
        <w:t>bkz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Ek</w:t>
      </w:r>
      <w:proofErr w:type="spellEnd"/>
      <w:r>
        <w:rPr>
          <w:rFonts w:ascii="Times New Roman" w:hAnsi="Times New Roman" w:cs="Times New Roman"/>
        </w:rPr>
        <w:t xml:space="preserve"> 1)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yarı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yılın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sonunda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Akademik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İngilizce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Biriminden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aldığınız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herhangi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bir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dersin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değerlendirilmesi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genellikle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aşağıdaki</w:t>
      </w:r>
      <w:proofErr w:type="spellEnd"/>
      <w:r w:rsidRPr="00EC6FCD">
        <w:rPr>
          <w:rFonts w:ascii="Times New Roman" w:hAnsi="Times New Roman" w:cs="Times New Roman"/>
        </w:rPr>
        <w:t xml:space="preserve"> </w:t>
      </w:r>
      <w:proofErr w:type="spellStart"/>
      <w:r w:rsidRPr="00EC6FCD">
        <w:rPr>
          <w:rFonts w:ascii="Times New Roman" w:hAnsi="Times New Roman" w:cs="Times New Roman"/>
        </w:rPr>
        <w:t>gibidir</w:t>
      </w:r>
      <w:proofErr w:type="spellEnd"/>
      <w:r w:rsidRPr="00EC6FCD">
        <w:rPr>
          <w:rFonts w:ascii="Times New Roman" w:hAnsi="Times New Roman" w:cs="Times New Roman"/>
        </w:rPr>
        <w:t>.</w:t>
      </w:r>
      <w:proofErr w:type="gramEnd"/>
      <w:r w:rsidRPr="00EC6FCD">
        <w:rPr>
          <w:rFonts w:ascii="Times New Roman" w:hAnsi="Times New Roman" w:cs="Times New Roman"/>
        </w:rPr>
        <w:t xml:space="preserve"> </w:t>
      </w:r>
    </w:p>
    <w:tbl>
      <w:tblPr>
        <w:tblStyle w:val="TabloKlavuzu"/>
        <w:tblW w:w="0" w:type="auto"/>
        <w:tblLook w:val="04A0"/>
      </w:tblPr>
      <w:tblGrid>
        <w:gridCol w:w="9062"/>
      </w:tblGrid>
      <w:tr w:rsidR="0037753E" w:rsidRPr="00EC6FCD" w:rsidTr="00BD1154">
        <w:tc>
          <w:tcPr>
            <w:tcW w:w="9062" w:type="dxa"/>
          </w:tcPr>
          <w:p w:rsidR="0037753E" w:rsidRPr="000C6BD7" w:rsidRDefault="0037753E" w:rsidP="00BD1154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0C6BD7">
              <w:rPr>
                <w:rFonts w:ascii="Times New Roman" w:hAnsi="Times New Roman" w:cs="Times New Roman"/>
                <w:u w:val="single"/>
              </w:rPr>
              <w:t>Örnek</w:t>
            </w:r>
            <w:proofErr w:type="spellEnd"/>
            <w:r w:rsidRPr="000C6BD7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 w:rsidRPr="000C6BD7">
              <w:rPr>
                <w:rFonts w:ascii="Times New Roman" w:hAnsi="Times New Roman" w:cs="Times New Roman"/>
                <w:u w:val="single"/>
              </w:rPr>
              <w:t>değerlendirme</w:t>
            </w:r>
            <w:proofErr w:type="spellEnd"/>
            <w:r w:rsidRPr="000C6BD7">
              <w:rPr>
                <w:rFonts w:ascii="Times New Roman" w:hAnsi="Times New Roman" w:cs="Times New Roman"/>
                <w:u w:val="single"/>
              </w:rPr>
              <w:t xml:space="preserve"> 1</w:t>
            </w:r>
          </w:p>
          <w:p w:rsidR="0037753E" w:rsidRPr="00EC6FCD" w:rsidRDefault="0037753E" w:rsidP="00BD1154">
            <w:pPr>
              <w:jc w:val="both"/>
              <w:rPr>
                <w:rFonts w:ascii="Times New Roman" w:hAnsi="Times New Roman" w:cs="Times New Roman"/>
              </w:rPr>
            </w:pPr>
          </w:p>
          <w:p w:rsidR="0037753E" w:rsidRPr="00EC6FCD" w:rsidRDefault="0037753E" w:rsidP="00BD1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FCD">
              <w:rPr>
                <w:rFonts w:ascii="Times New Roman" w:hAnsi="Times New Roman" w:cs="Times New Roman"/>
              </w:rPr>
              <w:t>Ara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CD">
              <w:rPr>
                <w:rFonts w:ascii="Times New Roman" w:hAnsi="Times New Roman" w:cs="Times New Roman"/>
              </w:rPr>
              <w:t>sınav</w:t>
            </w:r>
            <w:proofErr w:type="spellEnd"/>
            <w:r w:rsidRPr="00EC6FCD">
              <w:rPr>
                <w:rFonts w:ascii="Times New Roman" w:hAnsi="Times New Roman" w:cs="Times New Roman"/>
              </w:rPr>
              <w:t>(</w:t>
            </w:r>
            <w:proofErr w:type="spellStart"/>
            <w:r w:rsidRPr="00EC6FCD">
              <w:rPr>
                <w:rFonts w:ascii="Times New Roman" w:hAnsi="Times New Roman" w:cs="Times New Roman"/>
              </w:rPr>
              <w:t>lar</w:t>
            </w:r>
            <w:proofErr w:type="spellEnd"/>
            <w:r w:rsidRPr="00EC6FCD">
              <w:rPr>
                <w:rFonts w:ascii="Times New Roman" w:hAnsi="Times New Roman" w:cs="Times New Roman"/>
              </w:rPr>
              <w:t>): %40</w:t>
            </w:r>
          </w:p>
          <w:p w:rsidR="0037753E" w:rsidRPr="00EC6FCD" w:rsidRDefault="0037753E" w:rsidP="00BD1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FCD">
              <w:rPr>
                <w:rFonts w:ascii="Times New Roman" w:hAnsi="Times New Roman" w:cs="Times New Roman"/>
              </w:rPr>
              <w:t>Yarı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CD">
              <w:rPr>
                <w:rFonts w:ascii="Times New Roman" w:hAnsi="Times New Roman" w:cs="Times New Roman"/>
              </w:rPr>
              <w:t>yıl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CD">
              <w:rPr>
                <w:rFonts w:ascii="Times New Roman" w:hAnsi="Times New Roman" w:cs="Times New Roman"/>
              </w:rPr>
              <w:t>sonu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CD">
              <w:rPr>
                <w:rFonts w:ascii="Times New Roman" w:hAnsi="Times New Roman" w:cs="Times New Roman"/>
              </w:rPr>
              <w:t>sınavı</w:t>
            </w:r>
            <w:proofErr w:type="spellEnd"/>
            <w:r w:rsidRPr="00EC6FCD">
              <w:rPr>
                <w:rFonts w:ascii="Times New Roman" w:hAnsi="Times New Roman" w:cs="Times New Roman"/>
              </w:rPr>
              <w:t>: %50</w:t>
            </w:r>
          </w:p>
          <w:p w:rsidR="0037753E" w:rsidRPr="00EC6FCD" w:rsidRDefault="0037753E" w:rsidP="00BD115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C6FCD">
              <w:rPr>
                <w:rFonts w:ascii="Times New Roman" w:hAnsi="Times New Roman" w:cs="Times New Roman"/>
              </w:rPr>
              <w:t>Öğretim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CD">
              <w:rPr>
                <w:rFonts w:ascii="Times New Roman" w:hAnsi="Times New Roman" w:cs="Times New Roman"/>
              </w:rPr>
              <w:t>Elemanı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CD">
              <w:rPr>
                <w:rFonts w:ascii="Times New Roman" w:hAnsi="Times New Roman" w:cs="Times New Roman"/>
              </w:rPr>
              <w:t>kanaat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6FCD">
              <w:rPr>
                <w:rFonts w:ascii="Times New Roman" w:hAnsi="Times New Roman" w:cs="Times New Roman"/>
              </w:rPr>
              <w:t>notu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EC6FCD">
              <w:rPr>
                <w:rFonts w:ascii="Times New Roman" w:hAnsi="Times New Roman" w:cs="Times New Roman"/>
              </w:rPr>
              <w:t>sunum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C6FCD">
              <w:rPr>
                <w:rFonts w:ascii="Times New Roman" w:hAnsi="Times New Roman" w:cs="Times New Roman"/>
              </w:rPr>
              <w:t>portföy</w:t>
            </w:r>
            <w:proofErr w:type="spellEnd"/>
            <w:r w:rsidRPr="00EC6FCD">
              <w:rPr>
                <w:rFonts w:ascii="Times New Roman" w:hAnsi="Times New Roman" w:cs="Times New Roman"/>
              </w:rPr>
              <w:t xml:space="preserve"> vb.: %10</w:t>
            </w:r>
          </w:p>
          <w:p w:rsidR="0037753E" w:rsidRPr="00EC6FCD" w:rsidRDefault="0037753E" w:rsidP="00BD115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753E" w:rsidRPr="00EC6FCD" w:rsidRDefault="0037753E" w:rsidP="0037753E">
      <w:pPr>
        <w:spacing w:line="240" w:lineRule="auto"/>
        <w:jc w:val="both"/>
        <w:rPr>
          <w:rFonts w:ascii="Times New Roman" w:hAnsi="Times New Roman" w:cs="Times New Roman"/>
        </w:rPr>
      </w:pPr>
    </w:p>
    <w:p w:rsidR="0037753E" w:rsidRDefault="0037753E">
      <w:pPr>
        <w:rPr>
          <w:noProof/>
          <w:lang w:val="tr-TR" w:eastAsia="tr-TR"/>
        </w:rPr>
      </w:pPr>
    </w:p>
    <w:sectPr w:rsidR="0037753E" w:rsidSect="00D34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028A"/>
    <w:rsid w:val="0012176A"/>
    <w:rsid w:val="0025028A"/>
    <w:rsid w:val="00257EEB"/>
    <w:rsid w:val="002C778A"/>
    <w:rsid w:val="0037753E"/>
    <w:rsid w:val="004038A3"/>
    <w:rsid w:val="00426F28"/>
    <w:rsid w:val="00515EE5"/>
    <w:rsid w:val="0052550F"/>
    <w:rsid w:val="00675AF3"/>
    <w:rsid w:val="008540E7"/>
    <w:rsid w:val="00C632F3"/>
    <w:rsid w:val="00D34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EA"/>
    <w:rPr>
      <w:lang w:val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775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3775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7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7EEB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67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uiPriority w:val="9"/>
    <w:rsid w:val="003775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37753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5F925-3DEA-4CCB-B742-E6DDE0B8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Nurşen</dc:creator>
  <cp:keywords/>
  <dc:description/>
  <cp:lastModifiedBy>B. Murat Kultufan</cp:lastModifiedBy>
  <cp:revision>4</cp:revision>
  <cp:lastPrinted>2018-10-11T08:54:00Z</cp:lastPrinted>
  <dcterms:created xsi:type="dcterms:W3CDTF">2018-10-11T09:03:00Z</dcterms:created>
  <dcterms:modified xsi:type="dcterms:W3CDTF">2018-11-14T08:28:00Z</dcterms:modified>
</cp:coreProperties>
</file>